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A07515" w:rsidRPr="002164D2" w14:paraId="36E2182F" w14:textId="77777777" w:rsidTr="00A07515">
        <w:trPr>
          <w:trHeight w:val="1411"/>
        </w:trPr>
        <w:tc>
          <w:tcPr>
            <w:tcW w:w="2235" w:type="dxa"/>
            <w:tcBorders>
              <w:top w:val="nil"/>
              <w:left w:val="nil"/>
              <w:bottom w:val="single" w:sz="12" w:space="0" w:color="auto"/>
              <w:right w:val="nil"/>
            </w:tcBorders>
            <w:vAlign w:val="center"/>
          </w:tcPr>
          <w:p w14:paraId="5FCB0589" w14:textId="77777777" w:rsidR="00A07515" w:rsidRPr="002164D2" w:rsidRDefault="00A07515" w:rsidP="002C36B0">
            <w:pPr>
              <w:pStyle w:val="Default"/>
              <w:jc w:val="center"/>
            </w:pPr>
            <w:bookmarkStart w:id="0" w:name="_Toc478720212"/>
            <w:r w:rsidRPr="002164D2">
              <w:rPr>
                <w:noProof/>
                <w:lang w:val="en-US"/>
              </w:rPr>
              <w:drawing>
                <wp:inline distT="0" distB="0" distL="0" distR="0" wp14:anchorId="3B33C4C7" wp14:editId="4C10E334">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bottom"/>
          </w:tcPr>
          <w:p w14:paraId="0AA04C16" w14:textId="5D0C98F2" w:rsidR="00A07515" w:rsidRPr="002164D2" w:rsidRDefault="00A07515" w:rsidP="00A07515">
            <w:pPr>
              <w:keepNext/>
              <w:keepLines/>
              <w:jc w:val="center"/>
              <w:outlineLvl w:val="0"/>
              <w:rPr>
                <w:rFonts w:ascii="Arial" w:eastAsia="Times New Roman" w:hAnsi="Arial" w:cs="Arial"/>
                <w:b/>
                <w:bCs/>
                <w:sz w:val="24"/>
                <w:szCs w:val="24"/>
                <w:lang w:eastAsia="ja-JP"/>
              </w:rPr>
            </w:pPr>
            <w:r w:rsidRPr="002164D2">
              <w:rPr>
                <w:rFonts w:ascii="Arial" w:hAnsi="Arial" w:cs="Arial"/>
                <w:b/>
                <w:sz w:val="24"/>
                <w:szCs w:val="24"/>
              </w:rPr>
              <w:t xml:space="preserve">ITC Data Sharing Agreement with </w:t>
            </w:r>
            <w:r w:rsidRPr="002164D2">
              <w:rPr>
                <w:rFonts w:ascii="Arial" w:eastAsia="Times New Roman" w:hAnsi="Arial" w:cs="Arial"/>
                <w:b/>
                <w:bCs/>
                <w:sz w:val="24"/>
                <w:szCs w:val="24"/>
                <w:lang w:eastAsia="ja-JP"/>
              </w:rPr>
              <w:t>Spain</w:t>
            </w:r>
            <w:r w:rsidR="00FD37B5">
              <w:rPr>
                <w:rFonts w:ascii="Arial" w:eastAsia="Times New Roman" w:hAnsi="Arial" w:cs="Arial"/>
                <w:b/>
                <w:bCs/>
                <w:sz w:val="24"/>
                <w:szCs w:val="24"/>
                <w:lang w:eastAsia="ja-JP"/>
              </w:rPr>
              <w:t xml:space="preserve"> &amp; 6E-Spain</w:t>
            </w:r>
          </w:p>
          <w:p w14:paraId="4293B060" w14:textId="77777777" w:rsidR="00A07515" w:rsidRPr="002164D2" w:rsidRDefault="00A07515" w:rsidP="00A07515">
            <w:pPr>
              <w:pStyle w:val="Default"/>
              <w:jc w:val="center"/>
              <w:rPr>
                <w:b/>
              </w:rPr>
            </w:pPr>
          </w:p>
        </w:tc>
      </w:tr>
    </w:tbl>
    <w:p w14:paraId="1AC69D97"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p>
    <w:p w14:paraId="50986D84" w14:textId="77777777" w:rsidR="00A07515" w:rsidRPr="002164D2" w:rsidRDefault="00A07515" w:rsidP="00A07515">
      <w:pPr>
        <w:autoSpaceDE w:val="0"/>
        <w:autoSpaceDN w:val="0"/>
        <w:adjustRightInd w:val="0"/>
        <w:spacing w:after="0" w:line="240" w:lineRule="auto"/>
        <w:rPr>
          <w:rFonts w:ascii="Arial" w:hAnsi="Arial" w:cs="Arial"/>
          <w:b/>
          <w:iCs/>
          <w:color w:val="000000"/>
          <w:sz w:val="24"/>
          <w:szCs w:val="24"/>
        </w:rPr>
      </w:pPr>
      <w:r w:rsidRPr="002164D2">
        <w:rPr>
          <w:rFonts w:ascii="Arial" w:hAnsi="Arial" w:cs="Arial"/>
          <w:b/>
          <w:iCs/>
          <w:color w:val="000000"/>
          <w:sz w:val="24"/>
          <w:szCs w:val="24"/>
        </w:rPr>
        <w:t>PLEASE NOTE:</w:t>
      </w:r>
    </w:p>
    <w:p w14:paraId="02AE3B9F"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r w:rsidRPr="002164D2">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7131EDFE" w14:textId="77777777" w:rsidR="0094678B" w:rsidRPr="002164D2" w:rsidRDefault="0094678B" w:rsidP="00A07515">
      <w:pPr>
        <w:autoSpaceDE w:val="0"/>
        <w:autoSpaceDN w:val="0"/>
        <w:adjustRightInd w:val="0"/>
        <w:spacing w:after="0" w:line="240" w:lineRule="auto"/>
        <w:rPr>
          <w:rFonts w:ascii="Arial" w:hAnsi="Arial" w:cs="Arial"/>
          <w:iCs/>
          <w:color w:val="000000"/>
          <w:sz w:val="24"/>
          <w:szCs w:val="24"/>
        </w:rPr>
      </w:pPr>
    </w:p>
    <w:bookmarkEnd w:id="0"/>
    <w:p w14:paraId="23842210" w14:textId="77777777" w:rsidR="0094678B" w:rsidRPr="002164D2" w:rsidRDefault="0094678B" w:rsidP="0094678B">
      <w:pPr>
        <w:autoSpaceDE w:val="0"/>
        <w:autoSpaceDN w:val="0"/>
        <w:adjustRightInd w:val="0"/>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This data sharing agreement is intended for:</w:t>
      </w:r>
    </w:p>
    <w:p w14:paraId="1F1B82E0" w14:textId="6401FD6B" w:rsidR="0094678B" w:rsidRPr="002164D2" w:rsidRDefault="00C22AC4" w:rsidP="00FD37B5">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FD37B5">
            <w:rPr>
              <w:rFonts w:ascii="MS Gothic" w:eastAsia="MS Gothic" w:hAnsi="MS Gothic" w:cs="Arial" w:hint="eastAsia"/>
              <w:b/>
              <w:iCs/>
              <w:color w:val="000000"/>
            </w:rPr>
            <w:t>☐</w:t>
          </w:r>
        </w:sdtContent>
      </w:sdt>
      <w:r w:rsidR="00FD37B5">
        <w:rPr>
          <w:rFonts w:ascii="Arial" w:eastAsia="Calibri" w:hAnsi="Arial" w:cs="Arial"/>
          <w:iCs/>
          <w:color w:val="000000"/>
        </w:rPr>
        <w:t xml:space="preserve"> </w:t>
      </w:r>
      <w:r w:rsidR="00C929AC">
        <w:rPr>
          <w:rFonts w:ascii="Arial" w:eastAsia="Calibri" w:hAnsi="Arial" w:cs="Arial"/>
          <w:iCs/>
          <w:color w:val="000000"/>
          <w:sz w:val="24"/>
          <w:szCs w:val="24"/>
          <w:lang w:val="en-CA"/>
        </w:rPr>
        <w:t>Spain (6E) Waves 1-2 (2016-2018)</w:t>
      </w:r>
    </w:p>
    <w:p w14:paraId="05FC48C5" w14:textId="59A97754" w:rsidR="00623FB9" w:rsidRDefault="00C22AC4" w:rsidP="00FD37B5">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1036012432"/>
          <w14:checkbox>
            <w14:checked w14:val="0"/>
            <w14:checkedState w14:val="2612" w14:font="MS Gothic"/>
            <w14:uncheckedState w14:val="2610" w14:font="MS Gothic"/>
          </w14:checkbox>
        </w:sdtPr>
        <w:sdtEndPr/>
        <w:sdtContent>
          <w:r w:rsidR="00FD37B5">
            <w:rPr>
              <w:rFonts w:ascii="MS Gothic" w:eastAsia="MS Gothic" w:hAnsi="MS Gothic" w:cs="Arial" w:hint="eastAsia"/>
              <w:b/>
              <w:iCs/>
              <w:color w:val="000000"/>
            </w:rPr>
            <w:t>☐</w:t>
          </w:r>
        </w:sdtContent>
      </w:sdt>
      <w:r w:rsidR="00FD37B5">
        <w:rPr>
          <w:rFonts w:ascii="Arial" w:eastAsia="Calibri" w:hAnsi="Arial" w:cs="Arial"/>
          <w:iCs/>
          <w:color w:val="000000"/>
        </w:rPr>
        <w:t xml:space="preserve"> </w:t>
      </w:r>
      <w:r w:rsidR="00623FB9" w:rsidRPr="002164D2">
        <w:rPr>
          <w:rFonts w:ascii="Arial" w:eastAsia="Calibri" w:hAnsi="Arial" w:cs="Arial"/>
          <w:iCs/>
          <w:color w:val="000000"/>
          <w:sz w:val="24"/>
          <w:szCs w:val="24"/>
          <w:lang w:val="en-CA"/>
        </w:rPr>
        <w:t xml:space="preserve">Spain (ES) Wave </w:t>
      </w:r>
      <w:r w:rsidR="00FD37B5">
        <w:rPr>
          <w:rFonts w:ascii="Arial" w:eastAsia="Calibri" w:hAnsi="Arial" w:cs="Arial"/>
          <w:iCs/>
          <w:color w:val="000000"/>
          <w:sz w:val="24"/>
          <w:szCs w:val="24"/>
          <w:lang w:val="en-CA"/>
        </w:rPr>
        <w:t>2.5</w:t>
      </w:r>
      <w:r w:rsidR="00623FB9" w:rsidRPr="002164D2">
        <w:rPr>
          <w:rFonts w:ascii="Arial" w:eastAsia="Calibri" w:hAnsi="Arial" w:cs="Arial"/>
          <w:iCs/>
          <w:color w:val="000000"/>
          <w:sz w:val="24"/>
          <w:szCs w:val="24"/>
          <w:lang w:val="en-CA"/>
        </w:rPr>
        <w:t xml:space="preserve"> (202</w:t>
      </w:r>
      <w:r w:rsidR="008A74C1">
        <w:rPr>
          <w:rFonts w:ascii="Arial" w:eastAsia="Calibri" w:hAnsi="Arial" w:cs="Arial"/>
          <w:iCs/>
          <w:color w:val="000000"/>
          <w:sz w:val="24"/>
          <w:szCs w:val="24"/>
          <w:lang w:val="en-CA"/>
        </w:rPr>
        <w:t>1</w:t>
      </w:r>
      <w:r w:rsidR="00623FB9" w:rsidRPr="002164D2">
        <w:rPr>
          <w:rFonts w:ascii="Arial" w:eastAsia="Calibri" w:hAnsi="Arial" w:cs="Arial"/>
          <w:iCs/>
          <w:color w:val="000000"/>
          <w:sz w:val="24"/>
          <w:szCs w:val="24"/>
          <w:lang w:val="en-CA"/>
        </w:rPr>
        <w:t>)</w:t>
      </w:r>
    </w:p>
    <w:p w14:paraId="60B7C2B4" w14:textId="11FF84FF" w:rsidR="00C929AC" w:rsidRPr="002164D2" w:rsidRDefault="00C22AC4" w:rsidP="00FD37B5">
      <w:pPr>
        <w:spacing w:after="0" w:line="276" w:lineRule="auto"/>
        <w:ind w:left="540"/>
        <w:contextualSpacing/>
        <w:rPr>
          <w:rFonts w:ascii="Arial" w:eastAsia="Calibri" w:hAnsi="Arial" w:cs="Arial"/>
          <w:iCs/>
          <w:color w:val="000000"/>
          <w:sz w:val="24"/>
          <w:szCs w:val="24"/>
          <w:lang w:val="en-CA"/>
        </w:rPr>
      </w:pPr>
      <w:sdt>
        <w:sdtPr>
          <w:rPr>
            <w:rFonts w:ascii="Arial" w:hAnsi="Arial" w:cs="Arial"/>
            <w:b/>
            <w:iCs/>
            <w:color w:val="000000"/>
          </w:rPr>
          <w:id w:val="1136219538"/>
          <w14:checkbox>
            <w14:checked w14:val="0"/>
            <w14:checkedState w14:val="2612" w14:font="MS Gothic"/>
            <w14:uncheckedState w14:val="2610" w14:font="MS Gothic"/>
          </w14:checkbox>
        </w:sdtPr>
        <w:sdtEndPr/>
        <w:sdtContent>
          <w:r w:rsidR="00FD37B5">
            <w:rPr>
              <w:rFonts w:ascii="MS Gothic" w:eastAsia="MS Gothic" w:hAnsi="MS Gothic" w:cs="Arial" w:hint="eastAsia"/>
              <w:b/>
              <w:iCs/>
              <w:color w:val="000000"/>
            </w:rPr>
            <w:t>☐</w:t>
          </w:r>
        </w:sdtContent>
      </w:sdt>
      <w:r w:rsidR="00FD37B5">
        <w:rPr>
          <w:rFonts w:ascii="Arial" w:eastAsia="Calibri" w:hAnsi="Arial" w:cs="Arial"/>
          <w:iCs/>
          <w:color w:val="000000"/>
        </w:rPr>
        <w:t xml:space="preserve"> </w:t>
      </w:r>
      <w:r w:rsidR="00C929AC">
        <w:rPr>
          <w:rFonts w:ascii="Arial" w:eastAsia="Calibri" w:hAnsi="Arial" w:cs="Arial"/>
          <w:iCs/>
          <w:color w:val="000000"/>
          <w:sz w:val="24"/>
          <w:szCs w:val="24"/>
          <w:lang w:val="en-CA"/>
        </w:rPr>
        <w:t>All of the above</w:t>
      </w:r>
    </w:p>
    <w:p w14:paraId="15EBBD3C" w14:textId="77777777" w:rsidR="00CA1853" w:rsidRPr="002164D2" w:rsidRDefault="00CA1853" w:rsidP="00CA1853">
      <w:pPr>
        <w:spacing w:after="0" w:line="276" w:lineRule="auto"/>
        <w:rPr>
          <w:rFonts w:ascii="Arial" w:eastAsia="Calibri" w:hAnsi="Arial" w:cs="Arial"/>
          <w:sz w:val="24"/>
          <w:szCs w:val="24"/>
          <w:lang w:val="en-CA" w:eastAsia="ja-JP"/>
        </w:rPr>
      </w:pPr>
    </w:p>
    <w:p w14:paraId="0FC7764D" w14:textId="2544E0A4" w:rsidR="00CA1853" w:rsidRPr="002164D2" w:rsidRDefault="002164D2" w:rsidP="00CA1853">
      <w:pPr>
        <w:spacing w:after="200" w:line="276" w:lineRule="auto"/>
        <w:rPr>
          <w:rFonts w:ascii="Arial" w:eastAsia="Calibri" w:hAnsi="Arial" w:cs="Arial"/>
          <w:b/>
          <w:sz w:val="24"/>
          <w:szCs w:val="24"/>
          <w:u w:val="single"/>
          <w:lang w:val="en-CA" w:eastAsia="ja-JP"/>
        </w:rPr>
      </w:pPr>
      <w:r w:rsidRPr="002164D2">
        <w:rPr>
          <w:rFonts w:ascii="Arial" w:eastAsia="Calibri" w:hAnsi="Arial" w:cs="Arial"/>
          <w:b/>
          <w:sz w:val="24"/>
          <w:szCs w:val="24"/>
          <w:u w:val="single"/>
          <w:lang w:val="en-CA" w:eastAsia="ja-JP"/>
        </w:rPr>
        <w:t xml:space="preserve">6E </w:t>
      </w:r>
      <w:r w:rsidR="00CA1853" w:rsidRPr="002164D2">
        <w:rPr>
          <w:rFonts w:ascii="Arial" w:eastAsia="Calibri" w:hAnsi="Arial" w:cs="Arial"/>
          <w:b/>
          <w:sz w:val="24"/>
          <w:szCs w:val="24"/>
          <w:u w:val="single"/>
          <w:lang w:val="en-CA" w:eastAsia="ja-JP"/>
        </w:rPr>
        <w:t xml:space="preserve">Wave 1 </w:t>
      </w:r>
      <w:r w:rsidR="00B95A28" w:rsidRPr="002164D2">
        <w:rPr>
          <w:rFonts w:ascii="Arial" w:eastAsia="Calibri" w:hAnsi="Arial" w:cs="Arial"/>
          <w:b/>
          <w:sz w:val="24"/>
          <w:szCs w:val="24"/>
          <w:u w:val="single"/>
          <w:lang w:val="en-CA" w:eastAsia="ja-JP"/>
        </w:rPr>
        <w:t xml:space="preserve">and/or Wave 2 </w:t>
      </w:r>
      <w:r w:rsidR="00CA1853" w:rsidRPr="002164D2">
        <w:rPr>
          <w:rFonts w:ascii="Arial" w:eastAsia="Calibri" w:hAnsi="Arial" w:cs="Arial"/>
          <w:b/>
          <w:sz w:val="24"/>
          <w:szCs w:val="24"/>
          <w:u w:val="single"/>
          <w:lang w:val="en-CA" w:eastAsia="ja-JP"/>
        </w:rPr>
        <w:t>(</w:t>
      </w:r>
      <w:r w:rsidR="00B95A28" w:rsidRPr="002164D2">
        <w:rPr>
          <w:rFonts w:ascii="Arial" w:eastAsia="Calibri" w:hAnsi="Arial" w:cs="Arial"/>
          <w:b/>
          <w:sz w:val="24"/>
          <w:szCs w:val="24"/>
          <w:u w:val="single"/>
          <w:lang w:val="en-CA" w:eastAsia="ja-JP"/>
        </w:rPr>
        <w:t>September 2018</w:t>
      </w:r>
      <w:r w:rsidR="00CA1853" w:rsidRPr="002164D2">
        <w:rPr>
          <w:rFonts w:ascii="Arial" w:eastAsia="Calibri" w:hAnsi="Arial" w:cs="Arial"/>
          <w:b/>
          <w:sz w:val="24"/>
          <w:szCs w:val="24"/>
          <w:u w:val="single"/>
          <w:lang w:val="en-CA" w:eastAsia="ja-JP"/>
        </w:rPr>
        <w:t>)</w:t>
      </w:r>
    </w:p>
    <w:tbl>
      <w:tblPr>
        <w:tblStyle w:val="TableGrid"/>
        <w:tblW w:w="0" w:type="auto"/>
        <w:tblLook w:val="04A0" w:firstRow="1" w:lastRow="0" w:firstColumn="1" w:lastColumn="0" w:noHBand="0" w:noVBand="1"/>
      </w:tblPr>
      <w:tblGrid>
        <w:gridCol w:w="4633"/>
        <w:gridCol w:w="4717"/>
      </w:tblGrid>
      <w:tr w:rsidR="00CA1853" w:rsidRPr="002164D2" w14:paraId="64C7DAE0" w14:textId="77777777" w:rsidTr="00CA1853">
        <w:trPr>
          <w:trHeight w:val="323"/>
        </w:trPr>
        <w:tc>
          <w:tcPr>
            <w:tcW w:w="4788" w:type="dxa"/>
            <w:shd w:val="clear" w:color="auto" w:fill="DBE5F1"/>
          </w:tcPr>
          <w:p w14:paraId="721210BB"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Principal Investigators</w:t>
            </w:r>
          </w:p>
        </w:tc>
        <w:tc>
          <w:tcPr>
            <w:tcW w:w="4788" w:type="dxa"/>
            <w:shd w:val="clear" w:color="auto" w:fill="DBE5F1"/>
          </w:tcPr>
          <w:p w14:paraId="3A18CEF2"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E-mail</w:t>
            </w:r>
          </w:p>
        </w:tc>
      </w:tr>
      <w:tr w:rsidR="00CA1853" w:rsidRPr="002164D2" w14:paraId="0015D743" w14:textId="77777777" w:rsidTr="003A49FA">
        <w:trPr>
          <w:trHeight w:val="714"/>
        </w:trPr>
        <w:tc>
          <w:tcPr>
            <w:tcW w:w="4788" w:type="dxa"/>
            <w:vAlign w:val="center"/>
          </w:tcPr>
          <w:p w14:paraId="6224AFB8"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Ute Mons (Germany)</w:t>
            </w:r>
          </w:p>
          <w:p w14:paraId="347618B6"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 xml:space="preserve">Yannis </w:t>
            </w:r>
            <w:proofErr w:type="spellStart"/>
            <w:r w:rsidRPr="002164D2">
              <w:rPr>
                <w:rFonts w:ascii="Arial" w:eastAsia="Calibri" w:hAnsi="Arial" w:cs="Arial"/>
                <w:sz w:val="24"/>
                <w:szCs w:val="24"/>
                <w:lang w:eastAsia="ja-JP"/>
              </w:rPr>
              <w:t>Tountas</w:t>
            </w:r>
            <w:proofErr w:type="spellEnd"/>
            <w:r w:rsidRPr="002164D2">
              <w:rPr>
                <w:rFonts w:ascii="Arial" w:eastAsia="Calibri" w:hAnsi="Arial" w:cs="Arial"/>
                <w:sz w:val="24"/>
                <w:szCs w:val="24"/>
                <w:lang w:eastAsia="ja-JP"/>
              </w:rPr>
              <w:t xml:space="preserve"> (Greece)</w:t>
            </w:r>
          </w:p>
          <w:p w14:paraId="319EC30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Tibor Demjén (Hungary)</w:t>
            </w:r>
          </w:p>
          <w:p w14:paraId="32ADA7C2"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Witold Zatoński (Poland)</w:t>
            </w:r>
          </w:p>
          <w:p w14:paraId="4B0995BE"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bCs/>
                <w:sz w:val="24"/>
                <w:szCs w:val="24"/>
                <w:lang w:eastAsia="ja-JP"/>
              </w:rPr>
              <w:t>Krzystof</w:t>
            </w:r>
            <w:proofErr w:type="spellEnd"/>
            <w:r w:rsidRPr="002164D2">
              <w:rPr>
                <w:rFonts w:ascii="Arial" w:eastAsia="Calibri" w:hAnsi="Arial" w:cs="Arial"/>
                <w:bCs/>
                <w:sz w:val="24"/>
                <w:szCs w:val="24"/>
                <w:lang w:eastAsia="ja-JP"/>
              </w:rPr>
              <w:t xml:space="preserve"> </w:t>
            </w:r>
            <w:proofErr w:type="spellStart"/>
            <w:r w:rsidRPr="002164D2">
              <w:rPr>
                <w:rFonts w:ascii="Arial" w:eastAsia="Calibri" w:hAnsi="Arial" w:cs="Arial"/>
                <w:bCs/>
                <w:sz w:val="24"/>
                <w:szCs w:val="24"/>
                <w:lang w:eastAsia="ja-JP"/>
              </w:rPr>
              <w:t>Przewoźniak</w:t>
            </w:r>
            <w:proofErr w:type="spellEnd"/>
            <w:r w:rsidRPr="002164D2">
              <w:rPr>
                <w:rFonts w:ascii="Arial" w:eastAsia="Calibri" w:hAnsi="Arial" w:cs="Arial"/>
                <w:bCs/>
                <w:sz w:val="24"/>
                <w:szCs w:val="24"/>
                <w:lang w:eastAsia="ja-JP"/>
              </w:rPr>
              <w:t xml:space="preserve"> </w:t>
            </w:r>
            <w:r w:rsidRPr="002164D2">
              <w:rPr>
                <w:rFonts w:ascii="Arial" w:eastAsia="Calibri" w:hAnsi="Arial" w:cs="Arial"/>
                <w:sz w:val="24"/>
                <w:szCs w:val="24"/>
                <w:lang w:eastAsia="ja-JP"/>
              </w:rPr>
              <w:t>(Poland)</w:t>
            </w:r>
          </w:p>
          <w:p w14:paraId="49C272D0"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Antigona Trofor (Romania)</w:t>
            </w:r>
          </w:p>
          <w:p w14:paraId="43BB78C5"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sz w:val="24"/>
                <w:szCs w:val="24"/>
                <w:lang w:eastAsia="ja-JP"/>
              </w:rPr>
              <w:t>Esteve</w:t>
            </w:r>
            <w:proofErr w:type="spellEnd"/>
            <w:r w:rsidRPr="002164D2">
              <w:rPr>
                <w:rFonts w:ascii="Arial" w:eastAsia="Calibri" w:hAnsi="Arial" w:cs="Arial"/>
                <w:sz w:val="24"/>
                <w:szCs w:val="24"/>
                <w:lang w:eastAsia="ja-JP"/>
              </w:rPr>
              <w:t xml:space="preserve"> Fernández (Spain)</w:t>
            </w:r>
          </w:p>
          <w:p w14:paraId="0A14E3E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Constantine Vardavas (Coordinator)</w:t>
            </w:r>
          </w:p>
        </w:tc>
        <w:tc>
          <w:tcPr>
            <w:tcW w:w="4788" w:type="dxa"/>
            <w:vAlign w:val="center"/>
          </w:tcPr>
          <w:p w14:paraId="5E78C414" w14:textId="77777777" w:rsidR="00CA1853" w:rsidRPr="002164D2" w:rsidRDefault="00C22AC4" w:rsidP="00CA1853">
            <w:pPr>
              <w:jc w:val="center"/>
              <w:rPr>
                <w:rFonts w:ascii="Arial" w:eastAsia="Calibri" w:hAnsi="Arial" w:cs="Arial"/>
                <w:sz w:val="24"/>
                <w:szCs w:val="24"/>
                <w:lang w:eastAsia="ja-JP"/>
              </w:rPr>
            </w:pPr>
            <w:hyperlink r:id="rId9" w:history="1">
              <w:r w:rsidR="00CA1853" w:rsidRPr="002164D2">
                <w:rPr>
                  <w:rFonts w:ascii="Arial" w:eastAsia="Calibri" w:hAnsi="Arial" w:cs="Arial"/>
                  <w:sz w:val="24"/>
                  <w:szCs w:val="24"/>
                  <w:bdr w:val="none" w:sz="0" w:space="0" w:color="auto" w:frame="1"/>
                  <w:shd w:val="clear" w:color="auto" w:fill="FFFFFF"/>
                </w:rPr>
                <w:t>u.mons@dkfz-heidelberg.de</w:t>
              </w:r>
            </w:hyperlink>
          </w:p>
          <w:p w14:paraId="5A0709F5" w14:textId="77777777" w:rsidR="00CA1853" w:rsidRPr="002164D2" w:rsidRDefault="00C22AC4" w:rsidP="00CA1853">
            <w:pPr>
              <w:jc w:val="center"/>
              <w:rPr>
                <w:rFonts w:ascii="Arial" w:eastAsia="Calibri" w:hAnsi="Arial" w:cs="Arial"/>
                <w:sz w:val="24"/>
                <w:szCs w:val="24"/>
              </w:rPr>
            </w:pPr>
            <w:hyperlink r:id="rId10" w:history="1">
              <w:r w:rsidR="00CA1853" w:rsidRPr="002164D2">
                <w:rPr>
                  <w:rFonts w:ascii="Arial" w:eastAsia="Calibri" w:hAnsi="Arial" w:cs="Arial"/>
                  <w:sz w:val="24"/>
                  <w:szCs w:val="24"/>
                  <w:bdr w:val="none" w:sz="0" w:space="0" w:color="auto" w:frame="1"/>
                  <w:shd w:val="clear" w:color="auto" w:fill="FFFFFF"/>
                </w:rPr>
                <w:t>chsr@med.uoa.gr</w:t>
              </w:r>
            </w:hyperlink>
          </w:p>
          <w:p w14:paraId="5B15DBE9" w14:textId="77777777" w:rsidR="00CA1853" w:rsidRPr="002164D2" w:rsidRDefault="00C22AC4" w:rsidP="00CA1853">
            <w:pPr>
              <w:jc w:val="center"/>
              <w:rPr>
                <w:rFonts w:ascii="Arial" w:eastAsia="Calibri" w:hAnsi="Arial" w:cs="Arial"/>
                <w:sz w:val="24"/>
                <w:szCs w:val="24"/>
                <w:lang w:eastAsia="ja-JP"/>
              </w:rPr>
            </w:pPr>
            <w:hyperlink r:id="rId11" w:history="1">
              <w:r w:rsidR="00CA1853" w:rsidRPr="002164D2">
                <w:rPr>
                  <w:rFonts w:ascii="Arial" w:eastAsia="Calibri" w:hAnsi="Arial" w:cs="Arial"/>
                  <w:sz w:val="24"/>
                  <w:szCs w:val="24"/>
                  <w:bdr w:val="none" w:sz="0" w:space="0" w:color="auto" w:frame="1"/>
                  <w:shd w:val="clear" w:color="auto" w:fill="FFFFFF"/>
                </w:rPr>
                <w:t>tibor.demjen@gmail.com</w:t>
              </w:r>
            </w:hyperlink>
          </w:p>
          <w:p w14:paraId="70A266AA" w14:textId="77777777" w:rsidR="00CA1853" w:rsidRPr="002164D2" w:rsidRDefault="00C22AC4" w:rsidP="00CA1853">
            <w:pPr>
              <w:jc w:val="center"/>
              <w:rPr>
                <w:rFonts w:ascii="Arial" w:eastAsia="Calibri" w:hAnsi="Arial" w:cs="Arial"/>
                <w:sz w:val="24"/>
                <w:szCs w:val="24"/>
              </w:rPr>
            </w:pPr>
            <w:hyperlink r:id="rId12" w:history="1">
              <w:r w:rsidR="00CA1853" w:rsidRPr="002164D2">
                <w:rPr>
                  <w:rFonts w:ascii="Arial" w:eastAsia="Calibri" w:hAnsi="Arial" w:cs="Arial"/>
                  <w:sz w:val="24"/>
                  <w:szCs w:val="24"/>
                  <w:bdr w:val="none" w:sz="0" w:space="0" w:color="auto" w:frame="1"/>
                  <w:shd w:val="clear" w:color="auto" w:fill="FFFFFF"/>
                </w:rPr>
                <w:t>fpz@promocjazdrowia.pl</w:t>
              </w:r>
            </w:hyperlink>
          </w:p>
          <w:p w14:paraId="21496C9D" w14:textId="77777777" w:rsidR="00CA1853" w:rsidRPr="002164D2" w:rsidRDefault="00C22AC4" w:rsidP="00CA1853">
            <w:pPr>
              <w:jc w:val="center"/>
              <w:rPr>
                <w:rFonts w:ascii="Arial" w:eastAsia="Calibri" w:hAnsi="Arial" w:cs="Arial"/>
                <w:sz w:val="24"/>
                <w:szCs w:val="24"/>
                <w:bdr w:val="none" w:sz="0" w:space="0" w:color="auto" w:frame="1"/>
                <w:shd w:val="clear" w:color="auto" w:fill="FFFFFF"/>
              </w:rPr>
            </w:pPr>
            <w:hyperlink r:id="rId13" w:history="1">
              <w:r w:rsidR="00CA1853" w:rsidRPr="002164D2">
                <w:rPr>
                  <w:rFonts w:ascii="Arial" w:eastAsia="Calibri" w:hAnsi="Arial" w:cs="Arial"/>
                  <w:sz w:val="24"/>
                  <w:szCs w:val="24"/>
                  <w:bdr w:val="none" w:sz="0" w:space="0" w:color="auto" w:frame="1"/>
                  <w:shd w:val="clear" w:color="auto" w:fill="FFFFFF"/>
                </w:rPr>
                <w:t>krzysztof.przewozniak@wp.pl</w:t>
              </w:r>
            </w:hyperlink>
          </w:p>
          <w:p w14:paraId="18D88965" w14:textId="77777777" w:rsidR="00CA1853" w:rsidRPr="002164D2" w:rsidRDefault="00C22AC4" w:rsidP="00CA1853">
            <w:pPr>
              <w:jc w:val="center"/>
              <w:rPr>
                <w:rFonts w:ascii="Arial" w:eastAsia="Calibri" w:hAnsi="Arial" w:cs="Arial"/>
                <w:sz w:val="24"/>
                <w:szCs w:val="24"/>
              </w:rPr>
            </w:pPr>
            <w:hyperlink r:id="rId14" w:history="1">
              <w:r w:rsidR="00CA1853" w:rsidRPr="002164D2">
                <w:rPr>
                  <w:rFonts w:ascii="Arial" w:eastAsia="Calibri" w:hAnsi="Arial" w:cs="Arial"/>
                  <w:sz w:val="24"/>
                  <w:szCs w:val="24"/>
                  <w:bdr w:val="none" w:sz="0" w:space="0" w:color="auto" w:frame="1"/>
                  <w:shd w:val="clear" w:color="auto" w:fill="FFFFFF"/>
                </w:rPr>
                <w:t>atrofor@yahoo.com</w:t>
              </w:r>
            </w:hyperlink>
          </w:p>
          <w:p w14:paraId="461BB0AC" w14:textId="77777777" w:rsidR="00CA1853" w:rsidRPr="002164D2" w:rsidRDefault="00C22AC4" w:rsidP="00CA1853">
            <w:pPr>
              <w:jc w:val="center"/>
              <w:rPr>
                <w:rFonts w:ascii="Arial" w:eastAsia="Calibri" w:hAnsi="Arial" w:cs="Arial"/>
                <w:sz w:val="24"/>
                <w:szCs w:val="24"/>
              </w:rPr>
            </w:pPr>
            <w:hyperlink r:id="rId15" w:history="1">
              <w:r w:rsidR="00CA1853" w:rsidRPr="002164D2">
                <w:rPr>
                  <w:rFonts w:ascii="Arial" w:eastAsia="Calibri" w:hAnsi="Arial" w:cs="Arial"/>
                  <w:sz w:val="24"/>
                  <w:szCs w:val="24"/>
                  <w:bdr w:val="none" w:sz="0" w:space="0" w:color="auto" w:frame="1"/>
                  <w:shd w:val="clear" w:color="auto" w:fill="FFFFFF"/>
                </w:rPr>
                <w:t>efernandez@iconcologia.ne</w:t>
              </w:r>
            </w:hyperlink>
          </w:p>
          <w:p w14:paraId="2F558D2E" w14:textId="77777777" w:rsidR="00CA1853" w:rsidRPr="002164D2" w:rsidRDefault="00C22AC4" w:rsidP="00CA1853">
            <w:pPr>
              <w:jc w:val="center"/>
              <w:rPr>
                <w:rFonts w:ascii="Arial" w:eastAsia="Calibri" w:hAnsi="Arial" w:cs="Arial"/>
                <w:sz w:val="24"/>
                <w:szCs w:val="24"/>
                <w:bdr w:val="none" w:sz="0" w:space="0" w:color="auto" w:frame="1"/>
                <w:shd w:val="clear" w:color="auto" w:fill="FFFFFF"/>
              </w:rPr>
            </w:pPr>
            <w:hyperlink r:id="rId16" w:history="1">
              <w:r w:rsidR="00CA1853" w:rsidRPr="002164D2">
                <w:rPr>
                  <w:rFonts w:ascii="Arial" w:eastAsia="Calibri" w:hAnsi="Arial" w:cs="Arial"/>
                  <w:sz w:val="24"/>
                  <w:szCs w:val="24"/>
                  <w:bdr w:val="none" w:sz="0" w:space="0" w:color="auto" w:frame="1"/>
                  <w:shd w:val="clear" w:color="auto" w:fill="FFFFFF"/>
                </w:rPr>
                <w:t>vardavas@tobcontrol.eu</w:t>
              </w:r>
            </w:hyperlink>
          </w:p>
        </w:tc>
      </w:tr>
    </w:tbl>
    <w:p w14:paraId="60EFC5A2" w14:textId="77777777" w:rsidR="00CA1853" w:rsidRPr="002164D2" w:rsidRDefault="00CA1853" w:rsidP="00CA1853">
      <w:pPr>
        <w:autoSpaceDE w:val="0"/>
        <w:autoSpaceDN w:val="0"/>
        <w:adjustRightInd w:val="0"/>
        <w:spacing w:after="0" w:line="240" w:lineRule="auto"/>
        <w:rPr>
          <w:rFonts w:ascii="Arial" w:eastAsia="Calibri" w:hAnsi="Arial" w:cs="Arial"/>
          <w:iCs/>
          <w:color w:val="000000"/>
          <w:sz w:val="24"/>
          <w:szCs w:val="24"/>
          <w:lang w:val="en-CA"/>
        </w:rPr>
      </w:pPr>
    </w:p>
    <w:p w14:paraId="697DBCB4" w14:textId="77777777" w:rsidR="00CA1853" w:rsidRPr="002164D2" w:rsidRDefault="00CA1853" w:rsidP="00CA1853">
      <w:pPr>
        <w:spacing w:after="0" w:line="276" w:lineRule="auto"/>
        <w:rPr>
          <w:rFonts w:ascii="Arial" w:eastAsia="Calibri" w:hAnsi="Arial" w:cs="Arial"/>
          <w:b/>
          <w:iCs/>
          <w:color w:val="000000"/>
          <w:sz w:val="24"/>
          <w:szCs w:val="24"/>
          <w:lang w:val="en-CA"/>
        </w:rPr>
      </w:pPr>
      <w:r w:rsidRPr="002164D2">
        <w:rPr>
          <w:rFonts w:ascii="Arial" w:eastAsia="Calibri" w:hAnsi="Arial" w:cs="Arial"/>
          <w:b/>
          <w:iCs/>
          <w:color w:val="000000"/>
          <w:sz w:val="24"/>
          <w:szCs w:val="24"/>
          <w:lang w:val="en-CA"/>
        </w:rPr>
        <w:t>Terms and Conditions</w:t>
      </w:r>
    </w:p>
    <w:p w14:paraId="17BD3F9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523DB43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43851F7"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1FAD475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lastRenderedPageBreak/>
        <w:t xml:space="preserve"> </w:t>
      </w:r>
    </w:p>
    <w:p w14:paraId="5596FA45"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1C0C1A3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175647B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640AC10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0B9BF932"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79B3A9D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7C884DB0"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14194104"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7DFF578"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55D8CD37" w14:textId="77777777" w:rsidR="00CA1853" w:rsidRPr="002164D2" w:rsidRDefault="00CA1853" w:rsidP="00CA1853">
      <w:pPr>
        <w:spacing w:after="0" w:line="240" w:lineRule="auto"/>
        <w:rPr>
          <w:rFonts w:ascii="Arial" w:eastAsia="Calibri" w:hAnsi="Arial" w:cs="Arial"/>
          <w:iCs/>
          <w:color w:val="000000"/>
          <w:sz w:val="24"/>
          <w:szCs w:val="24"/>
          <w:lang w:val="en-CA"/>
        </w:rPr>
      </w:pPr>
    </w:p>
    <w:p w14:paraId="7945A1E6" w14:textId="77777777" w:rsidR="00CA1853" w:rsidRPr="002164D2" w:rsidRDefault="00CA1853" w:rsidP="00CA1853">
      <w:pPr>
        <w:autoSpaceDE w:val="0"/>
        <w:autoSpaceDN w:val="0"/>
        <w:adjustRightInd w:val="0"/>
        <w:spacing w:after="0" w:line="240" w:lineRule="auto"/>
        <w:rPr>
          <w:rFonts w:ascii="Arial" w:eastAsia="Calibri" w:hAnsi="Arial" w:cs="Arial"/>
          <w:b/>
          <w:bCs/>
          <w:color w:val="000000"/>
          <w:sz w:val="24"/>
          <w:szCs w:val="24"/>
          <w:lang w:val="en-CA"/>
        </w:rPr>
      </w:pPr>
      <w:r w:rsidRPr="002164D2">
        <w:rPr>
          <w:rFonts w:ascii="Arial" w:eastAsia="Calibri" w:hAnsi="Arial" w:cs="Arial"/>
          <w:b/>
          <w:bCs/>
          <w:color w:val="000000"/>
          <w:sz w:val="24"/>
          <w:szCs w:val="24"/>
          <w:lang w:val="en-CA"/>
        </w:rPr>
        <w:t>Confidentiality</w:t>
      </w:r>
    </w:p>
    <w:p w14:paraId="7F60FC79" w14:textId="77777777" w:rsidR="00A07515"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46C29AFA" w14:textId="77777777" w:rsidR="00A07515" w:rsidRPr="002164D2" w:rsidRDefault="00A07515" w:rsidP="00CA1853">
      <w:pPr>
        <w:autoSpaceDE w:val="0"/>
        <w:autoSpaceDN w:val="0"/>
        <w:adjustRightInd w:val="0"/>
        <w:spacing w:after="0" w:line="240" w:lineRule="auto"/>
        <w:rPr>
          <w:rFonts w:ascii="Arial" w:eastAsia="Calibri" w:hAnsi="Arial" w:cs="Arial"/>
          <w:color w:val="000000"/>
          <w:sz w:val="24"/>
          <w:szCs w:val="24"/>
          <w:lang w:val="en-CA"/>
        </w:rPr>
      </w:pPr>
    </w:p>
    <w:p w14:paraId="32C04DC0"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 xml:space="preserve">Publication of results from the ITC 6 European Country Survey will not disclose data from individual participants. All users of the data agree not to disclose or knowingly </w:t>
      </w:r>
      <w:r w:rsidRPr="002164D2">
        <w:rPr>
          <w:rFonts w:ascii="Arial" w:eastAsia="Calibri" w:hAnsi="Arial" w:cs="Arial"/>
          <w:color w:val="000000"/>
          <w:sz w:val="24"/>
          <w:szCs w:val="24"/>
          <w:lang w:val="en-CA"/>
        </w:rPr>
        <w:lastRenderedPageBreak/>
        <w:t xml:space="preserve">cause to be disclosed any information that relates an individual response to an identifiable individual.   </w:t>
      </w:r>
    </w:p>
    <w:p w14:paraId="16738BEE" w14:textId="5E6AC912" w:rsidR="00CA1853" w:rsidRPr="002164D2" w:rsidRDefault="00CA1853" w:rsidP="00CA1853">
      <w:pPr>
        <w:spacing w:after="0" w:line="240" w:lineRule="auto"/>
        <w:rPr>
          <w:rFonts w:ascii="Arial" w:eastAsia="Calibri" w:hAnsi="Arial" w:cs="Arial"/>
          <w:iCs/>
          <w:color w:val="000000"/>
          <w:sz w:val="24"/>
          <w:szCs w:val="24"/>
          <w:lang w:val="en-CA"/>
        </w:rPr>
      </w:pPr>
    </w:p>
    <w:p w14:paraId="269904E7" w14:textId="2ED187A1" w:rsidR="00FD37B5" w:rsidRPr="00EA0A0E" w:rsidRDefault="00FD37B5" w:rsidP="00FD37B5">
      <w:pPr>
        <w:spacing w:after="0" w:line="240" w:lineRule="auto"/>
        <w:rPr>
          <w:rFonts w:ascii="Arial" w:eastAsia="Calibri" w:hAnsi="Arial" w:cs="Arial"/>
          <w:b/>
          <w:iCs/>
          <w:color w:val="000000"/>
          <w:sz w:val="24"/>
          <w:szCs w:val="24"/>
          <w:u w:val="single"/>
          <w:lang w:val="en-CA"/>
        </w:rPr>
      </w:pPr>
      <w:r w:rsidRPr="00EA0A0E">
        <w:rPr>
          <w:rFonts w:ascii="Arial" w:eastAsia="Calibri" w:hAnsi="Arial" w:cs="Arial"/>
          <w:b/>
          <w:iCs/>
          <w:color w:val="000000"/>
          <w:sz w:val="24"/>
          <w:szCs w:val="24"/>
          <w:u w:val="single"/>
          <w:lang w:val="en-CA"/>
        </w:rPr>
        <w:t>Spain (ES) Wave 2.5 (202</w:t>
      </w:r>
      <w:r w:rsidR="006A1C47">
        <w:rPr>
          <w:rFonts w:ascii="Arial" w:eastAsia="Calibri" w:hAnsi="Arial" w:cs="Arial"/>
          <w:b/>
          <w:iCs/>
          <w:color w:val="000000"/>
          <w:sz w:val="24"/>
          <w:szCs w:val="24"/>
          <w:u w:val="single"/>
          <w:lang w:val="en-CA"/>
        </w:rPr>
        <w:t>1</w:t>
      </w:r>
      <w:bookmarkStart w:id="1" w:name="_GoBack"/>
      <w:bookmarkEnd w:id="1"/>
      <w:r w:rsidRPr="00EA0A0E">
        <w:rPr>
          <w:rFonts w:ascii="Arial" w:eastAsia="Calibri" w:hAnsi="Arial" w:cs="Arial"/>
          <w:b/>
          <w:iCs/>
          <w:color w:val="000000"/>
          <w:sz w:val="24"/>
          <w:szCs w:val="24"/>
          <w:u w:val="single"/>
          <w:lang w:val="en-CA"/>
        </w:rPr>
        <w:t>)</w:t>
      </w:r>
    </w:p>
    <w:p w14:paraId="575DEAB5" w14:textId="77777777" w:rsidR="00FD37B5" w:rsidRDefault="00FD37B5" w:rsidP="00FD37B5">
      <w:pPr>
        <w:spacing w:after="0" w:line="240" w:lineRule="auto"/>
        <w:rPr>
          <w:rFonts w:ascii="Arial" w:eastAsia="Calibri" w:hAnsi="Arial" w:cs="Arial"/>
          <w:iCs/>
          <w:color w:val="000000"/>
          <w:sz w:val="24"/>
          <w:szCs w:val="24"/>
          <w:lang w:val="en-CA"/>
        </w:rPr>
      </w:pPr>
    </w:p>
    <w:tbl>
      <w:tblPr>
        <w:tblStyle w:val="TableGrid"/>
        <w:tblW w:w="0" w:type="auto"/>
        <w:tblLook w:val="04A0" w:firstRow="1" w:lastRow="0" w:firstColumn="1" w:lastColumn="0" w:noHBand="0" w:noVBand="1"/>
      </w:tblPr>
      <w:tblGrid>
        <w:gridCol w:w="4632"/>
        <w:gridCol w:w="4718"/>
      </w:tblGrid>
      <w:tr w:rsidR="00FD37B5" w:rsidRPr="002164D2" w14:paraId="38C0FFD0" w14:textId="77777777" w:rsidTr="002D3AA7">
        <w:trPr>
          <w:trHeight w:val="714"/>
        </w:trPr>
        <w:tc>
          <w:tcPr>
            <w:tcW w:w="4788" w:type="dxa"/>
            <w:vAlign w:val="center"/>
          </w:tcPr>
          <w:p w14:paraId="490204F5" w14:textId="77777777" w:rsidR="00FD37B5" w:rsidRDefault="00FD37B5" w:rsidP="002D3AA7">
            <w:pPr>
              <w:jc w:val="center"/>
              <w:rPr>
                <w:rFonts w:ascii="Arial" w:eastAsia="Calibri" w:hAnsi="Arial" w:cs="Arial"/>
                <w:sz w:val="24"/>
                <w:szCs w:val="24"/>
                <w:lang w:eastAsia="ja-JP"/>
              </w:rPr>
            </w:pPr>
            <w:r>
              <w:rPr>
                <w:rFonts w:ascii="Arial" w:eastAsia="Calibri" w:hAnsi="Arial" w:cs="Arial"/>
                <w:sz w:val="24"/>
                <w:szCs w:val="24"/>
                <w:lang w:eastAsia="ja-JP"/>
              </w:rPr>
              <w:t>Marcela Fu</w:t>
            </w:r>
          </w:p>
          <w:p w14:paraId="6D8517B9" w14:textId="77777777" w:rsidR="00FD37B5" w:rsidRPr="002164D2" w:rsidRDefault="00FD37B5" w:rsidP="002D3AA7">
            <w:pPr>
              <w:jc w:val="center"/>
              <w:rPr>
                <w:rFonts w:ascii="Arial" w:eastAsia="Calibri" w:hAnsi="Arial" w:cs="Arial"/>
                <w:sz w:val="24"/>
                <w:szCs w:val="24"/>
                <w:lang w:eastAsia="ja-JP"/>
              </w:rPr>
            </w:pPr>
            <w:proofErr w:type="spellStart"/>
            <w:r w:rsidRPr="002164D2">
              <w:rPr>
                <w:rFonts w:ascii="Arial" w:eastAsia="Calibri" w:hAnsi="Arial" w:cs="Arial"/>
                <w:sz w:val="24"/>
                <w:szCs w:val="24"/>
                <w:lang w:eastAsia="ja-JP"/>
              </w:rPr>
              <w:t>Esteve</w:t>
            </w:r>
            <w:proofErr w:type="spellEnd"/>
            <w:r w:rsidRPr="002164D2">
              <w:rPr>
                <w:rFonts w:ascii="Arial" w:eastAsia="Calibri" w:hAnsi="Arial" w:cs="Arial"/>
                <w:sz w:val="24"/>
                <w:szCs w:val="24"/>
                <w:lang w:eastAsia="ja-JP"/>
              </w:rPr>
              <w:t xml:space="preserve"> Fernández </w:t>
            </w:r>
          </w:p>
          <w:p w14:paraId="25EC038D" w14:textId="77777777" w:rsidR="00FD37B5" w:rsidRPr="002164D2" w:rsidRDefault="00FD37B5" w:rsidP="002D3AA7">
            <w:pPr>
              <w:jc w:val="center"/>
              <w:rPr>
                <w:rFonts w:ascii="Arial" w:eastAsia="Calibri" w:hAnsi="Arial" w:cs="Arial"/>
                <w:sz w:val="24"/>
                <w:szCs w:val="24"/>
                <w:lang w:eastAsia="ja-JP"/>
              </w:rPr>
            </w:pPr>
          </w:p>
        </w:tc>
        <w:tc>
          <w:tcPr>
            <w:tcW w:w="4788" w:type="dxa"/>
            <w:vAlign w:val="center"/>
          </w:tcPr>
          <w:p w14:paraId="6A510F10" w14:textId="77777777" w:rsidR="00FD37B5" w:rsidRPr="00EA0A0E" w:rsidRDefault="00FD37B5" w:rsidP="002D3AA7">
            <w:pPr>
              <w:jc w:val="center"/>
              <w:rPr>
                <w:rFonts w:ascii="Arial" w:hAnsi="Arial" w:cs="Arial"/>
                <w:sz w:val="24"/>
              </w:rPr>
            </w:pPr>
            <w:r>
              <w:rPr>
                <w:rFonts w:ascii="Arial" w:hAnsi="Arial" w:cs="Arial"/>
                <w:sz w:val="24"/>
              </w:rPr>
              <w:t>mfu@iconcologia.net</w:t>
            </w:r>
          </w:p>
          <w:p w14:paraId="42BBC6A8" w14:textId="77777777" w:rsidR="00FD37B5" w:rsidRPr="00EA0A0E" w:rsidRDefault="00C22AC4" w:rsidP="002D3AA7">
            <w:pPr>
              <w:jc w:val="center"/>
              <w:rPr>
                <w:rFonts w:ascii="Arial" w:eastAsia="Calibri" w:hAnsi="Arial" w:cs="Arial"/>
                <w:sz w:val="24"/>
                <w:szCs w:val="24"/>
              </w:rPr>
            </w:pPr>
            <w:hyperlink r:id="rId17" w:history="1">
              <w:r w:rsidR="00FD37B5" w:rsidRPr="002164D2">
                <w:rPr>
                  <w:rFonts w:ascii="Arial" w:eastAsia="Calibri" w:hAnsi="Arial" w:cs="Arial"/>
                  <w:sz w:val="24"/>
                  <w:szCs w:val="24"/>
                  <w:bdr w:val="none" w:sz="0" w:space="0" w:color="auto" w:frame="1"/>
                  <w:shd w:val="clear" w:color="auto" w:fill="FFFFFF"/>
                </w:rPr>
                <w:t>efernandez@iconcologia.ne</w:t>
              </w:r>
            </w:hyperlink>
            <w:r w:rsidR="00FD37B5">
              <w:rPr>
                <w:rFonts w:ascii="Arial" w:eastAsia="Calibri" w:hAnsi="Arial" w:cs="Arial"/>
                <w:sz w:val="24"/>
                <w:szCs w:val="24"/>
                <w:bdr w:val="none" w:sz="0" w:space="0" w:color="auto" w:frame="1"/>
                <w:shd w:val="clear" w:color="auto" w:fill="FFFFFF"/>
              </w:rPr>
              <w:t>t</w:t>
            </w:r>
          </w:p>
        </w:tc>
      </w:tr>
    </w:tbl>
    <w:p w14:paraId="5F228DCD" w14:textId="77777777" w:rsidR="00FD37B5" w:rsidRPr="002164D2" w:rsidRDefault="00FD37B5" w:rsidP="00FD37B5">
      <w:pPr>
        <w:spacing w:after="0" w:line="240" w:lineRule="auto"/>
        <w:rPr>
          <w:rFonts w:ascii="Arial" w:eastAsia="Calibri" w:hAnsi="Arial" w:cs="Arial"/>
          <w:iCs/>
          <w:color w:val="000000"/>
          <w:sz w:val="24"/>
          <w:szCs w:val="24"/>
          <w:lang w:val="en-CA"/>
        </w:rPr>
      </w:pPr>
    </w:p>
    <w:p w14:paraId="4BA6D700" w14:textId="77777777" w:rsidR="00FD37B5" w:rsidRPr="002164D2" w:rsidRDefault="00FD37B5" w:rsidP="00FD37B5">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5A92F98F" w14:textId="77777777" w:rsidR="00FD37B5" w:rsidRPr="002164D2" w:rsidRDefault="00FD37B5" w:rsidP="00FD37B5">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537CC5A1" w14:textId="77777777" w:rsidR="00FD37B5" w:rsidRPr="002164D2" w:rsidRDefault="00FD37B5" w:rsidP="00FD37B5">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74B693CB" w14:textId="77777777" w:rsidR="00FD37B5" w:rsidRPr="002164D2" w:rsidRDefault="00FD37B5" w:rsidP="00FD37B5">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1B50B894" w14:textId="77777777" w:rsidR="00FD37B5" w:rsidRPr="002164D2" w:rsidRDefault="00FD37B5" w:rsidP="00FD37B5">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02C5B38D" w14:textId="77777777" w:rsidR="00FD37B5" w:rsidRPr="002164D2" w:rsidRDefault="00FD37B5" w:rsidP="00FD37B5">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7585DB05" w14:textId="77777777" w:rsidR="00FD37B5" w:rsidRPr="002164D2" w:rsidRDefault="00FD37B5" w:rsidP="00FD37B5">
      <w:pPr>
        <w:pStyle w:val="Heading4"/>
        <w:jc w:val="both"/>
        <w:rPr>
          <w:rFonts w:ascii="Arial" w:hAnsi="Arial" w:cs="Arial"/>
          <w:sz w:val="24"/>
        </w:rPr>
      </w:pPr>
      <w:r w:rsidRPr="002164D2">
        <w:rPr>
          <w:rFonts w:ascii="Arial" w:hAnsi="Arial" w:cs="Arial"/>
          <w:sz w:val="24"/>
        </w:rPr>
        <w:t>Communications and Collaboration</w:t>
      </w:r>
    </w:p>
    <w:p w14:paraId="2B3054DE" w14:textId="77777777" w:rsidR="00FD37B5" w:rsidRPr="002164D2" w:rsidRDefault="00FD37B5" w:rsidP="00FD37B5">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Project will begin with a process of consultation among all team members to inform the </w:t>
      </w:r>
      <w:r w:rsidRPr="002164D2">
        <w:rPr>
          <w:rFonts w:ascii="Arial" w:hAnsi="Arial" w:cs="Arial"/>
          <w:sz w:val="24"/>
          <w:szCs w:val="24"/>
        </w:rPr>
        <w:lastRenderedPageBreak/>
        <w:t xml:space="preserve">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78349167" w14:textId="77777777" w:rsidR="00FD37B5" w:rsidRPr="002164D2" w:rsidRDefault="00FD37B5" w:rsidP="00FD37B5">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13BB0492" w14:textId="77777777" w:rsidR="00FD37B5" w:rsidRPr="002164D2" w:rsidRDefault="00FD37B5" w:rsidP="00FD37B5">
      <w:pPr>
        <w:rPr>
          <w:rFonts w:ascii="Arial" w:hAnsi="Arial" w:cs="Arial"/>
          <w:sz w:val="24"/>
          <w:szCs w:val="24"/>
        </w:rPr>
      </w:pPr>
      <w:r w:rsidRPr="002164D2">
        <w:rPr>
          <w:rFonts w:ascii="Arial" w:hAnsi="Arial" w:cs="Arial"/>
          <w:sz w:val="24"/>
          <w:szCs w:val="24"/>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8AB1B1A" w14:textId="77777777" w:rsidR="00FD37B5" w:rsidRPr="002164D2" w:rsidRDefault="00FD37B5" w:rsidP="00FD37B5">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273B618E" w14:textId="77777777" w:rsidR="00FD37B5" w:rsidRPr="002164D2" w:rsidRDefault="00FD37B5" w:rsidP="00FD37B5">
      <w:pPr>
        <w:rPr>
          <w:rFonts w:ascii="Arial" w:hAnsi="Arial" w:cs="Arial"/>
          <w:b/>
          <w:sz w:val="24"/>
          <w:szCs w:val="24"/>
        </w:rPr>
      </w:pPr>
      <w:r w:rsidRPr="002164D2">
        <w:rPr>
          <w:rFonts w:ascii="Arial" w:hAnsi="Arial" w:cs="Arial"/>
          <w:sz w:val="24"/>
          <w:szCs w:val="24"/>
        </w:rPr>
        <w:lastRenderedPageBreak/>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C1A4567" w14:textId="77777777" w:rsidR="00FD37B5" w:rsidRPr="002164D2" w:rsidRDefault="00FD37B5" w:rsidP="00FD37B5">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69CBE062" w14:textId="06E53878" w:rsidR="0094678B" w:rsidRPr="002164D2" w:rsidRDefault="00FD37B5" w:rsidP="00FD37B5">
      <w:pPr>
        <w:spacing w:after="0" w:line="240" w:lineRule="auto"/>
        <w:rPr>
          <w:rFonts w:ascii="Arial" w:eastAsia="Calibri" w:hAnsi="Arial" w:cs="Arial"/>
          <w:iCs/>
          <w:color w:val="000000"/>
          <w:sz w:val="24"/>
          <w:szCs w:val="24"/>
          <w:lang w:val="en-CA"/>
        </w:rPr>
      </w:pPr>
      <w:r w:rsidRPr="002164D2">
        <w:rPr>
          <w:rFonts w:ascii="Arial" w:hAnsi="Arial" w:cs="Arial"/>
          <w:sz w:val="24"/>
          <w:szCs w:val="24"/>
        </w:rPr>
        <w:t>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w:t>
      </w:r>
    </w:p>
    <w:p w14:paraId="4D6BEEE9"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I have read and understand the conditions stated above.</w:t>
      </w:r>
    </w:p>
    <w:p w14:paraId="40B93C48"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CA1853" w:rsidRPr="002164D2" w14:paraId="4C8EF19C" w14:textId="77777777" w:rsidTr="003A49FA">
        <w:tc>
          <w:tcPr>
            <w:tcW w:w="9350" w:type="dxa"/>
          </w:tcPr>
          <w:p w14:paraId="1D4A759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033108526"/>
                <w:showingPlcHdr/>
                <w:text/>
              </w:sdtPr>
              <w:sdtEndPr/>
              <w:sdtContent>
                <w:r w:rsidRPr="002164D2">
                  <w:rPr>
                    <w:rFonts w:ascii="Arial" w:eastAsia="Calibri" w:hAnsi="Arial" w:cs="Arial"/>
                    <w:color w:val="808080"/>
                    <w:sz w:val="24"/>
                    <w:szCs w:val="24"/>
                  </w:rPr>
                  <w:t>Click here to enter text.</w:t>
                </w:r>
              </w:sdtContent>
            </w:sdt>
          </w:p>
        </w:tc>
      </w:tr>
      <w:tr w:rsidR="00CA1853" w:rsidRPr="002164D2" w14:paraId="4AA922CA" w14:textId="77777777" w:rsidTr="003A49FA">
        <w:tc>
          <w:tcPr>
            <w:tcW w:w="9350" w:type="dxa"/>
          </w:tcPr>
          <w:p w14:paraId="22D7C4E4"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852114482"/>
                <w:showingPlcHdr/>
              </w:sdtPr>
              <w:sdtEndPr/>
              <w:sdtContent>
                <w:r w:rsidRPr="002164D2">
                  <w:rPr>
                    <w:rFonts w:ascii="Arial" w:eastAsia="Calibri" w:hAnsi="Arial" w:cs="Arial"/>
                    <w:color w:val="808080"/>
                    <w:sz w:val="24"/>
                    <w:szCs w:val="24"/>
                  </w:rPr>
                  <w:t>Click here to enter e-mail.</w:t>
                </w:r>
              </w:sdtContent>
            </w:sdt>
          </w:p>
        </w:tc>
      </w:tr>
      <w:tr w:rsidR="00CA1853" w:rsidRPr="002164D2" w14:paraId="75A673BB" w14:textId="77777777" w:rsidTr="003A49FA">
        <w:trPr>
          <w:trHeight w:val="1001"/>
        </w:trPr>
        <w:tc>
          <w:tcPr>
            <w:tcW w:w="9350" w:type="dxa"/>
          </w:tcPr>
          <w:p w14:paraId="55A86F8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(Electronic) Signature:</w:t>
            </w:r>
          </w:p>
          <w:p w14:paraId="39CC8210" w14:textId="77777777" w:rsidR="00CA1853" w:rsidRPr="002164D2" w:rsidRDefault="00C22AC4" w:rsidP="00CA1853">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036475065"/>
                <w:showingPlcHdr/>
                <w:picture/>
              </w:sdtPr>
              <w:sdtEndPr/>
              <w:sdtContent>
                <w:r w:rsidR="00CA1853" w:rsidRPr="002164D2">
                  <w:rPr>
                    <w:rFonts w:ascii="Arial" w:eastAsia="Calibri" w:hAnsi="Arial" w:cs="Arial"/>
                    <w:noProof/>
                    <w:color w:val="000000"/>
                    <w:sz w:val="24"/>
                    <w:szCs w:val="24"/>
                  </w:rPr>
                  <w:drawing>
                    <wp:inline distT="0" distB="0" distL="0" distR="0" wp14:anchorId="3EE924B9" wp14:editId="11329717">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A1853" w:rsidRPr="002164D2" w14:paraId="1C38AEB6" w14:textId="77777777" w:rsidTr="003A49FA">
        <w:tc>
          <w:tcPr>
            <w:tcW w:w="9350" w:type="dxa"/>
          </w:tcPr>
          <w:p w14:paraId="0DB2B78F"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482545713"/>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459333B7" w14:textId="77777777" w:rsidR="00782499" w:rsidRPr="002164D2" w:rsidRDefault="00782499" w:rsidP="00A07515">
      <w:pPr>
        <w:keepNext/>
        <w:keepLines/>
        <w:spacing w:before="480" w:after="0" w:line="276" w:lineRule="auto"/>
        <w:outlineLvl w:val="0"/>
        <w:rPr>
          <w:rFonts w:ascii="Arial" w:hAnsi="Arial" w:cs="Arial"/>
          <w:sz w:val="24"/>
          <w:szCs w:val="24"/>
        </w:rPr>
      </w:pPr>
    </w:p>
    <w:sectPr w:rsidR="00782499" w:rsidRPr="002164D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810E" w14:textId="77777777" w:rsidR="00C22AC4" w:rsidRDefault="00C22AC4" w:rsidP="00CD4B0B">
      <w:pPr>
        <w:spacing w:after="0" w:line="240" w:lineRule="auto"/>
      </w:pPr>
      <w:r>
        <w:separator/>
      </w:r>
    </w:p>
  </w:endnote>
  <w:endnote w:type="continuationSeparator" w:id="0">
    <w:p w14:paraId="55B94671" w14:textId="77777777" w:rsidR="00C22AC4" w:rsidRDefault="00C22AC4" w:rsidP="00CD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424" w14:textId="77777777" w:rsidR="00CD4B0B" w:rsidRDefault="00CD4B0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5"/>
      <w:gridCol w:w="3018"/>
    </w:tblGrid>
    <w:tr w:rsidR="00CD4B0B" w14:paraId="664C264B" w14:textId="77777777" w:rsidTr="003A49FA">
      <w:trPr>
        <w:trHeight w:val="288"/>
      </w:trPr>
      <w:tc>
        <w:tcPr>
          <w:tcW w:w="1088" w:type="dxa"/>
          <w:vMerge w:val="restart"/>
          <w:tcBorders>
            <w:top w:val="single" w:sz="12" w:space="0" w:color="auto"/>
          </w:tcBorders>
        </w:tcPr>
        <w:p w14:paraId="12A78E58" w14:textId="77777777" w:rsidR="00CD4B0B" w:rsidRDefault="00CD4B0B" w:rsidP="00CD4B0B">
          <w:pPr>
            <w:pStyle w:val="Footer"/>
            <w:jc w:val="center"/>
          </w:pPr>
          <w:r>
            <w:rPr>
              <w:noProof/>
            </w:rPr>
            <w:drawing>
              <wp:inline distT="0" distB="0" distL="0" distR="0" wp14:anchorId="6D4816E7" wp14:editId="01A39E5F">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410C83C9" w14:textId="73B9E98E" w:rsidR="00CD4B0B" w:rsidRPr="00BA14A8" w:rsidRDefault="00CD4B0B" w:rsidP="00CD4B0B">
          <w:pPr>
            <w:pStyle w:val="Footer"/>
            <w:rPr>
              <w:rFonts w:ascii="Arial" w:hAnsi="Arial" w:cs="Arial"/>
              <w:sz w:val="20"/>
            </w:rPr>
          </w:pPr>
          <w:r w:rsidRPr="00BA14A8">
            <w:rPr>
              <w:rFonts w:ascii="Arial" w:hAnsi="Arial" w:cs="Arial"/>
              <w:sz w:val="20"/>
            </w:rPr>
            <w:t xml:space="preserve">ITC </w:t>
          </w:r>
          <w:r>
            <w:rPr>
              <w:rFonts w:ascii="Arial" w:hAnsi="Arial" w:cs="Arial"/>
              <w:sz w:val="20"/>
            </w:rPr>
            <w:t xml:space="preserve">Data Sharing with </w:t>
          </w:r>
          <w:r w:rsidR="00FD37B5">
            <w:rPr>
              <w:rFonts w:ascii="Arial" w:hAnsi="Arial" w:cs="Arial"/>
              <w:sz w:val="20"/>
            </w:rPr>
            <w:t xml:space="preserve">Spain and </w:t>
          </w:r>
          <w:r>
            <w:rPr>
              <w:rFonts w:ascii="Arial" w:hAnsi="Arial" w:cs="Arial"/>
              <w:sz w:val="20"/>
            </w:rPr>
            <w:t>EUREST-PLUS (6E</w:t>
          </w:r>
          <w:r w:rsidR="00FD37B5">
            <w:rPr>
              <w:rFonts w:ascii="Arial" w:hAnsi="Arial" w:cs="Arial"/>
              <w:sz w:val="20"/>
            </w:rPr>
            <w:t xml:space="preserve"> Spain</w:t>
          </w:r>
          <w:r>
            <w:rPr>
              <w:rFonts w:ascii="Arial" w:hAnsi="Arial" w:cs="Arial"/>
              <w:sz w:val="20"/>
            </w:rPr>
            <w:t>)</w:t>
          </w:r>
        </w:p>
      </w:tc>
      <w:tc>
        <w:tcPr>
          <w:tcW w:w="3089" w:type="dxa"/>
          <w:tcBorders>
            <w:top w:val="single" w:sz="12" w:space="0" w:color="auto"/>
            <w:left w:val="nil"/>
          </w:tcBorders>
        </w:tcPr>
        <w:p w14:paraId="18288A3E" w14:textId="3C99058B" w:rsidR="00CD4B0B" w:rsidRPr="00BA14A8" w:rsidRDefault="00CD4B0B" w:rsidP="00CD4B0B">
          <w:pPr>
            <w:pStyle w:val="Footer"/>
            <w:tabs>
              <w:tab w:val="left" w:pos="1647"/>
              <w:tab w:val="right" w:pos="4390"/>
            </w:tabs>
            <w:jc w:val="right"/>
            <w:rPr>
              <w:rFonts w:ascii="Arial" w:hAnsi="Arial" w:cs="Arial"/>
              <w:sz w:val="20"/>
            </w:rPr>
          </w:pPr>
          <w:r w:rsidRPr="00BA14A8">
            <w:rPr>
              <w:rFonts w:ascii="Arial" w:hAnsi="Arial" w:cs="Arial"/>
              <w:sz w:val="20"/>
            </w:rPr>
            <w:t xml:space="preserve">Updated </w:t>
          </w:r>
          <w:r w:rsidR="008A74C1">
            <w:rPr>
              <w:rFonts w:ascii="Arial" w:hAnsi="Arial" w:cs="Arial"/>
              <w:sz w:val="20"/>
            </w:rPr>
            <w:t>Mar</w:t>
          </w:r>
          <w:r>
            <w:rPr>
              <w:rFonts w:ascii="Arial" w:hAnsi="Arial" w:cs="Arial"/>
              <w:sz w:val="20"/>
            </w:rPr>
            <w:t xml:space="preserve"> 20</w:t>
          </w:r>
          <w:r w:rsidR="00FD37B5">
            <w:rPr>
              <w:rFonts w:ascii="Arial" w:hAnsi="Arial" w:cs="Arial"/>
              <w:sz w:val="20"/>
            </w:rPr>
            <w:t>2</w:t>
          </w:r>
          <w:r w:rsidR="008A74C1">
            <w:rPr>
              <w:rFonts w:ascii="Arial" w:hAnsi="Arial" w:cs="Arial"/>
              <w:sz w:val="20"/>
            </w:rPr>
            <w:t>2</w:t>
          </w:r>
        </w:p>
      </w:tc>
    </w:tr>
    <w:tr w:rsidR="00CD4B0B" w14:paraId="722119B1" w14:textId="77777777" w:rsidTr="003A49FA">
      <w:tc>
        <w:tcPr>
          <w:tcW w:w="1088" w:type="dxa"/>
          <w:vMerge/>
        </w:tcPr>
        <w:p w14:paraId="1265E6D0" w14:textId="77777777" w:rsidR="00CD4B0B" w:rsidRDefault="00CD4B0B" w:rsidP="00CD4B0B">
          <w:pPr>
            <w:pStyle w:val="Footer"/>
            <w:jc w:val="right"/>
          </w:pPr>
        </w:p>
      </w:tc>
      <w:tc>
        <w:tcPr>
          <w:tcW w:w="5399" w:type="dxa"/>
          <w:vMerge/>
        </w:tcPr>
        <w:p w14:paraId="6A546BB0" w14:textId="77777777" w:rsidR="00CD4B0B" w:rsidRPr="00BA14A8" w:rsidRDefault="00CD4B0B" w:rsidP="00CD4B0B">
          <w:pPr>
            <w:pStyle w:val="Footer"/>
            <w:jc w:val="right"/>
            <w:rPr>
              <w:rFonts w:ascii="Arial" w:hAnsi="Arial" w:cs="Arial"/>
              <w:sz w:val="20"/>
            </w:rPr>
          </w:pPr>
        </w:p>
      </w:tc>
      <w:tc>
        <w:tcPr>
          <w:tcW w:w="3089" w:type="dxa"/>
          <w:tcBorders>
            <w:left w:val="nil"/>
          </w:tcBorders>
        </w:tcPr>
        <w:p w14:paraId="43B42CA2" w14:textId="77777777" w:rsidR="00CD4B0B" w:rsidRPr="00BA14A8" w:rsidRDefault="00CD4B0B" w:rsidP="00CD4B0B">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B95A28">
            <w:rPr>
              <w:rFonts w:ascii="Arial" w:hAnsi="Arial" w:cs="Arial"/>
              <w:bCs/>
              <w:noProof/>
              <w:sz w:val="20"/>
            </w:rPr>
            <w:t>1</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B95A28">
            <w:rPr>
              <w:rFonts w:ascii="Arial" w:hAnsi="Arial" w:cs="Arial"/>
              <w:bCs/>
              <w:noProof/>
              <w:sz w:val="20"/>
            </w:rPr>
            <w:t>2</w:t>
          </w:r>
          <w:r w:rsidRPr="00BA14A8">
            <w:rPr>
              <w:rFonts w:ascii="Arial" w:hAnsi="Arial" w:cs="Arial"/>
              <w:bCs/>
              <w:sz w:val="20"/>
              <w:szCs w:val="24"/>
            </w:rPr>
            <w:fldChar w:fldCharType="end"/>
          </w:r>
        </w:p>
      </w:tc>
    </w:tr>
  </w:tbl>
  <w:p w14:paraId="7AE38924" w14:textId="77777777" w:rsidR="00CD4B0B" w:rsidRDefault="00CD4B0B">
    <w:pPr>
      <w:pStyle w:val="Footer"/>
    </w:pPr>
  </w:p>
  <w:p w14:paraId="06113560" w14:textId="77777777" w:rsidR="00CD4B0B" w:rsidRDefault="00CD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9B1A5" w14:textId="77777777" w:rsidR="00C22AC4" w:rsidRDefault="00C22AC4" w:rsidP="00CD4B0B">
      <w:pPr>
        <w:spacing w:after="0" w:line="240" w:lineRule="auto"/>
      </w:pPr>
      <w:r>
        <w:separator/>
      </w:r>
    </w:p>
  </w:footnote>
  <w:footnote w:type="continuationSeparator" w:id="0">
    <w:p w14:paraId="16DC6AA5" w14:textId="77777777" w:rsidR="00C22AC4" w:rsidRDefault="00C22AC4" w:rsidP="00CD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B3"/>
    <w:rsid w:val="00107C57"/>
    <w:rsid w:val="002126D8"/>
    <w:rsid w:val="002164D2"/>
    <w:rsid w:val="00287012"/>
    <w:rsid w:val="00494EB5"/>
    <w:rsid w:val="004A3CB3"/>
    <w:rsid w:val="004C314E"/>
    <w:rsid w:val="00623FB9"/>
    <w:rsid w:val="006A1C47"/>
    <w:rsid w:val="00742112"/>
    <w:rsid w:val="00782499"/>
    <w:rsid w:val="007829DB"/>
    <w:rsid w:val="008472DD"/>
    <w:rsid w:val="008A74C1"/>
    <w:rsid w:val="0094678B"/>
    <w:rsid w:val="00A07515"/>
    <w:rsid w:val="00AB3E86"/>
    <w:rsid w:val="00B95A28"/>
    <w:rsid w:val="00C22AC4"/>
    <w:rsid w:val="00C929AC"/>
    <w:rsid w:val="00CA1853"/>
    <w:rsid w:val="00CD4B0B"/>
    <w:rsid w:val="00CF1F7A"/>
    <w:rsid w:val="00E359EC"/>
    <w:rsid w:val="00EB039C"/>
    <w:rsid w:val="00EE4F7E"/>
    <w:rsid w:val="00FC46EE"/>
    <w:rsid w:val="00FD37B5"/>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CCE"/>
  <w15:chartTrackingRefBased/>
  <w15:docId w15:val="{399356FE-C522-45AC-BC5C-15AEEAF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164D2"/>
    <w:pPr>
      <w:keepNext/>
      <w:spacing w:after="0" w:line="240" w:lineRule="auto"/>
      <w:outlineLvl w:val="3"/>
    </w:pPr>
    <w:rPr>
      <w:rFonts w:ascii="Times New Roman" w:eastAsia="Times New Roman" w:hAnsi="Times New Roman"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8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0B"/>
  </w:style>
  <w:style w:type="paragraph" w:styleId="Footer">
    <w:name w:val="footer"/>
    <w:basedOn w:val="Normal"/>
    <w:link w:val="FooterChar"/>
    <w:uiPriority w:val="99"/>
    <w:unhideWhenUsed/>
    <w:rsid w:val="00CD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0B"/>
  </w:style>
  <w:style w:type="paragraph" w:customStyle="1" w:styleId="Default">
    <w:name w:val="Default"/>
    <w:rsid w:val="00A07515"/>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semiHidden/>
    <w:rsid w:val="002164D2"/>
    <w:rPr>
      <w:sz w:val="16"/>
      <w:szCs w:val="16"/>
    </w:rPr>
  </w:style>
  <w:style w:type="paragraph" w:styleId="CommentText">
    <w:name w:val="annotation text"/>
    <w:basedOn w:val="Normal"/>
    <w:link w:val="CommentTextChar"/>
    <w:semiHidden/>
    <w:rsid w:val="002164D2"/>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2164D2"/>
    <w:rPr>
      <w:rFonts w:ascii="Times New Roman" w:eastAsia="Times New Roman" w:hAnsi="Times New Roman" w:cs="Times New Roman"/>
      <w:sz w:val="20"/>
      <w:szCs w:val="20"/>
      <w:lang w:val="en-CA"/>
    </w:rPr>
  </w:style>
  <w:style w:type="character" w:styleId="Hyperlink">
    <w:name w:val="Hyperlink"/>
    <w:uiPriority w:val="99"/>
    <w:unhideWhenUsed/>
    <w:rsid w:val="002164D2"/>
    <w:rPr>
      <w:color w:val="0000FF"/>
      <w:u w:val="single"/>
    </w:rPr>
  </w:style>
  <w:style w:type="paragraph" w:styleId="BalloonText">
    <w:name w:val="Balloon Text"/>
    <w:basedOn w:val="Normal"/>
    <w:link w:val="BalloonTextChar"/>
    <w:uiPriority w:val="99"/>
    <w:semiHidden/>
    <w:unhideWhenUsed/>
    <w:rsid w:val="002164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4D2"/>
    <w:rPr>
      <w:rFonts w:ascii="Times New Roman" w:hAnsi="Times New Roman" w:cs="Times New Roman"/>
      <w:sz w:val="18"/>
      <w:szCs w:val="18"/>
    </w:rPr>
  </w:style>
  <w:style w:type="character" w:customStyle="1" w:styleId="Heading4Char">
    <w:name w:val="Heading 4 Char"/>
    <w:basedOn w:val="DefaultParagraphFont"/>
    <w:link w:val="Heading4"/>
    <w:rsid w:val="002164D2"/>
    <w:rPr>
      <w:rFonts w:ascii="Times New Roman" w:eastAsia="Times New Roman" w:hAnsi="Times New Roman" w:cs="Times New Roman"/>
      <w:b/>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przewozniak@wp.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pz@promocjazdrowia.pl" TargetMode="External"/><Relationship Id="rId17" Type="http://schemas.openxmlformats.org/officeDocument/2006/relationships/hyperlink" Target="mailto:efernandez@iconcologia.net" TargetMode="External"/><Relationship Id="rId2" Type="http://schemas.openxmlformats.org/officeDocument/2006/relationships/numbering" Target="numbering.xml"/><Relationship Id="rId16" Type="http://schemas.openxmlformats.org/officeDocument/2006/relationships/hyperlink" Target="mailto:vardavas@tobcontro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bor.demjen@gmail.com" TargetMode="External"/><Relationship Id="rId5" Type="http://schemas.openxmlformats.org/officeDocument/2006/relationships/webSettings" Target="webSettings.xml"/><Relationship Id="rId15" Type="http://schemas.openxmlformats.org/officeDocument/2006/relationships/hyperlink" Target="mailto:efernandez@iconcologia.net" TargetMode="External"/><Relationship Id="rId10" Type="http://schemas.openxmlformats.org/officeDocument/2006/relationships/hyperlink" Target="mailto:chsr@med.uoa.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mons@dkfz-heidelberg.de" TargetMode="External"/><Relationship Id="rId14" Type="http://schemas.openxmlformats.org/officeDocument/2006/relationships/hyperlink" Target="mailto:atrofor@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FCD1-45EF-A54E-8871-9477A57F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7</cp:revision>
  <dcterms:created xsi:type="dcterms:W3CDTF">2020-01-28T15:20:00Z</dcterms:created>
  <dcterms:modified xsi:type="dcterms:W3CDTF">2022-03-31T14:02:00Z</dcterms:modified>
</cp:coreProperties>
</file>